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imes New Roman" w:hAnsi="Times New Roman" w:eastAsia="方正小标宋简体" w:cs="方正小标宋简体"/>
          <w:kern w:val="2"/>
          <w:sz w:val="44"/>
          <w:szCs w:val="44"/>
          <w:u w:val="none"/>
          <w:shd w:val="clear" w:color="auto" w:fill="auto"/>
          <w:lang w:val="en-US" w:eastAsia="zh-CN" w:bidi="ar-SA"/>
        </w:rPr>
      </w:pPr>
      <w:bookmarkStart w:id="0" w:name="_Toc11276"/>
      <w:bookmarkStart w:id="1" w:name="_Toc42590312"/>
      <w:bookmarkStart w:id="2" w:name="_Toc30626"/>
      <w:r>
        <w:rPr>
          <w:rFonts w:hint="eastAsia" w:ascii="Times New Roman" w:hAnsi="Times New Roman" w:eastAsia="方正小标宋简体" w:cs="方正小标宋简体"/>
          <w:kern w:val="2"/>
          <w:sz w:val="44"/>
          <w:szCs w:val="44"/>
          <w:u w:val="none"/>
          <w:shd w:val="clear" w:color="auto" w:fill="auto"/>
          <w:lang w:val="en-US" w:eastAsia="zh-CN" w:bidi="ar-SA"/>
        </w:rPr>
        <w:t>川投集团党委管理新任干部管理能力提升班（第一期）培训项目比选公告</w:t>
      </w:r>
      <w:bookmarkEnd w:id="0"/>
      <w:bookmarkEnd w:id="1"/>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left"/>
        <w:textAlignment w:val="auto"/>
        <w:rPr>
          <w:rFonts w:hint="eastAsia" w:ascii="Times New Roman" w:hAnsi="Times New Roman" w:eastAsia="仿宋_GB2312" w:cs="仿宋_GB2312"/>
          <w:b w:val="0"/>
          <w:bCs w:val="0"/>
          <w:sz w:val="32"/>
          <w:szCs w:val="32"/>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比选人为</w:t>
      </w:r>
      <w:r>
        <w:rPr>
          <w:rFonts w:hint="eastAsia" w:ascii="Times New Roman" w:hAnsi="Times New Roman" w:eastAsia="仿宋_GB2312" w:cs="仿宋_GB2312"/>
          <w:b w:val="0"/>
          <w:bCs w:val="0"/>
          <w:sz w:val="32"/>
          <w:szCs w:val="32"/>
          <w:u w:val="single"/>
          <w:lang w:val="en-US" w:eastAsia="zh-CN"/>
        </w:rPr>
        <w:t>四川省投资集团有限责任公司</w:t>
      </w:r>
      <w:r>
        <w:rPr>
          <w:rFonts w:hint="eastAsia" w:ascii="Times New Roman" w:hAnsi="Times New Roman" w:eastAsia="仿宋_GB2312" w:cs="仿宋_GB2312"/>
          <w:b w:val="0"/>
          <w:bCs w:val="0"/>
          <w:sz w:val="32"/>
          <w:szCs w:val="32"/>
          <w:u w:val="none"/>
          <w:lang w:val="en-US" w:eastAsia="zh-CN"/>
        </w:rPr>
        <w:t>，现通过公开比选方式选择和确定</w:t>
      </w:r>
      <w:r>
        <w:rPr>
          <w:rFonts w:hint="eastAsia" w:ascii="Times New Roman" w:hAnsi="Times New Roman" w:eastAsia="仿宋_GB2312" w:cs="仿宋_GB2312"/>
          <w:b w:val="0"/>
          <w:bCs w:val="0"/>
          <w:sz w:val="32"/>
          <w:szCs w:val="32"/>
          <w:u w:val="single"/>
          <w:lang w:val="en-US" w:eastAsia="zh-CN"/>
        </w:rPr>
        <w:t>“蜕变”计划——川投集团党委管理新任干部管理能力提升班（第一期）培训项目（以下简称“本项目”）</w:t>
      </w:r>
      <w:r>
        <w:rPr>
          <w:rFonts w:hint="eastAsia" w:ascii="Times New Roman" w:hAnsi="Times New Roman" w:eastAsia="仿宋_GB2312" w:cs="仿宋_GB2312"/>
          <w:b w:val="0"/>
          <w:bCs w:val="0"/>
          <w:sz w:val="32"/>
          <w:szCs w:val="32"/>
          <w:u w:val="none"/>
          <w:lang w:val="en-US" w:eastAsia="zh-CN"/>
        </w:rPr>
        <w:t>中选人，诚邀符合资格条件的潜在比选申请人参与本项目的比选。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1.项目名称：</w:t>
      </w:r>
      <w:r>
        <w:rPr>
          <w:rFonts w:hint="eastAsia" w:ascii="Times New Roman" w:hAnsi="Times New Roman" w:eastAsia="仿宋_GB2312" w:cs="仿宋_GB2312"/>
          <w:b w:val="0"/>
          <w:bCs w:val="0"/>
          <w:sz w:val="32"/>
          <w:szCs w:val="32"/>
          <w:u w:val="single"/>
          <w:lang w:val="en-US" w:eastAsia="zh-CN"/>
        </w:rPr>
        <w:t>“蜕变”计划——川投集团党委管理新任干部管理能力提升班（第一期）。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2.项目时间：</w:t>
      </w:r>
      <w:r>
        <w:rPr>
          <w:rFonts w:hint="eastAsia" w:ascii="Times New Roman" w:hAnsi="Times New Roman" w:eastAsia="仿宋_GB2312" w:cs="仿宋_GB2312"/>
          <w:b w:val="0"/>
          <w:bCs w:val="0"/>
          <w:sz w:val="32"/>
          <w:szCs w:val="32"/>
          <w:u w:val="single"/>
          <w:lang w:val="en-US" w:eastAsia="zh-CN"/>
        </w:rPr>
        <w:t>2023年11月6日-2023年11月10日。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3.项目概况：</w:t>
      </w:r>
      <w:r>
        <w:rPr>
          <w:rFonts w:hint="eastAsia" w:ascii="Times New Roman" w:hAnsi="Times New Roman" w:eastAsia="仿宋_GB2312" w:cs="仿宋_GB2312"/>
          <w:b w:val="0"/>
          <w:bCs w:val="0"/>
          <w:sz w:val="32"/>
          <w:szCs w:val="32"/>
          <w:u w:val="none"/>
          <w:lang w:val="en-US" w:eastAsia="zh-CN"/>
        </w:rPr>
        <w:t>四川省投资集团有限责任公司（简称“川投集团”）成立于1988年10月，注册资本100亿元，是省委省政府批准首批组建的省级大型投融资运营公司和国有资本投资公司改组改革试点，是四川省的国有资产经营主体、重点建设项目的融资主体和投资主体之一。集团现有员工1.1万余人。下辖川投能源(600674.SH)、川投燃电、川投新能源、紫坪铺、川南发电、嘉阳集团、川投峨铁、川投信产、华西牙科、川投大健康等26家全资、控股企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4.比选内容：</w:t>
      </w:r>
      <w:r>
        <w:rPr>
          <w:rFonts w:hint="eastAsia" w:ascii="Times New Roman" w:hAnsi="Times New Roman" w:eastAsia="仿宋_GB2312" w:cs="仿宋_GB2312"/>
          <w:b w:val="0"/>
          <w:bCs w:val="0"/>
          <w:sz w:val="32"/>
          <w:szCs w:val="32"/>
          <w:u w:val="none"/>
          <w:lang w:val="en-US" w:eastAsia="zh-CN"/>
        </w:rPr>
        <w:t>根据课程内容选派优质授课老师，组织协调全程培训工作（包括负责学习场地、市内交通、用餐安排等）。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5.拟培训内容：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结合国有企业改革发展需要和国有企业好干部标准，围绕政治能力、管理能力、专业能力、综合能力四个方面赴知名高校或其在川培训点开展专题培训。主要内容包括：1.政治能力：深入学习习近平经济思想；习近平总书记关于国有企业改革发展和党的建设重要论述；提高国有企业领导干部政治能力；抓好新时代国有企业党的建设工作等。2.管理能力：深化国有企业改革，加快建设世界一流企业；企业安全生产形势分析及进一步强化管理的要求和措施；加快实现公司治理体系和治理能力现代化；提升企业领导干部综合管理能力，促进企业高质量发展等。3.专业能力：加快提升国有企业科技创新能力；提升国有企业法律风险防控能力；国有企业领导干部财务能力提升等。4.综合能力：世界与中国经济展望；领导力建设科学方法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6.比选申请人资格：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6.1比选申请人具有独立承担民事责任能力，在中华人民共和国境内依法注册的法人或其他组织，提供有效的营业执照(或事业法人登记证书)。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highlight w:val="none"/>
          <w:u w:val="none"/>
          <w:lang w:val="en-US" w:eastAsia="zh-CN"/>
        </w:rPr>
      </w:pPr>
      <w:r>
        <w:rPr>
          <w:rFonts w:hint="eastAsia" w:ascii="Times New Roman" w:hAnsi="Times New Roman" w:eastAsia="仿宋_GB2312" w:cs="仿宋_GB2312"/>
          <w:b w:val="0"/>
          <w:bCs w:val="0"/>
          <w:sz w:val="32"/>
          <w:szCs w:val="32"/>
          <w:highlight w:val="none"/>
          <w:u w:val="none"/>
          <w:lang w:val="en-US" w:eastAsia="zh-CN"/>
        </w:rPr>
        <w:t>6.2在中华人民共和国境内拥有固定的办公场所和办公设施，能组织相关人员赴知名高校或其在川培训点开展培训，具备健全的机构章程、管理制度和工作守则。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highlight w:val="none"/>
          <w:u w:val="none"/>
          <w:lang w:val="en-US" w:eastAsia="zh-CN"/>
        </w:rPr>
      </w:pPr>
      <w:r>
        <w:rPr>
          <w:rFonts w:hint="eastAsia" w:ascii="Times New Roman" w:hAnsi="Times New Roman" w:eastAsia="仿宋_GB2312" w:cs="仿宋_GB2312"/>
          <w:b w:val="0"/>
          <w:bCs w:val="0"/>
          <w:sz w:val="32"/>
          <w:szCs w:val="32"/>
          <w:highlight w:val="none"/>
          <w:u w:val="none"/>
          <w:lang w:val="en-US" w:eastAsia="zh-CN"/>
        </w:rPr>
        <w:t>6.3比选申请人合法经营、依法执业，遵守法律法规、职业道德和执业准则，有良好社会信誉，近三年提供的中介服务未因重大执业质量等问题受到省国资委通报。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6.4法定代表人为同一人的两个及两个以上法人，母公司、全资子公司及控股公司，均不得同时参加本项目投标。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6.5不接受联合体参选。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同时满足上述资格条件的比选申请人方可参加比选申请。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7.比选最高限价：</w:t>
      </w:r>
      <w:r>
        <w:rPr>
          <w:rFonts w:hint="eastAsia" w:ascii="Times New Roman" w:hAnsi="Times New Roman" w:eastAsia="仿宋_GB2312" w:cs="仿宋_GB2312"/>
          <w:b w:val="0"/>
          <w:bCs w:val="0"/>
          <w:sz w:val="32"/>
          <w:szCs w:val="32"/>
          <w:highlight w:val="none"/>
          <w:u w:val="single"/>
          <w:lang w:val="en-US" w:eastAsia="zh-CN"/>
        </w:rPr>
        <w:t>320,000元。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8.比选文件发售时间、地点：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比选文件自</w:t>
      </w:r>
      <w:r>
        <w:rPr>
          <w:rFonts w:hint="eastAsia" w:ascii="Times New Roman" w:hAnsi="Times New Roman" w:eastAsia="仿宋_GB2312" w:cs="仿宋_GB2312"/>
          <w:b w:val="0"/>
          <w:bCs w:val="0"/>
          <w:sz w:val="32"/>
          <w:szCs w:val="32"/>
          <w:u w:val="single"/>
          <w:lang w:val="en-US" w:eastAsia="zh-CN"/>
        </w:rPr>
        <w:t>2023年10月9日至2023年10月13日 9:00-17:00（北京时间）</w:t>
      </w:r>
      <w:r>
        <w:rPr>
          <w:rFonts w:hint="eastAsia" w:ascii="Times New Roman" w:hAnsi="Times New Roman" w:eastAsia="仿宋_GB2312" w:cs="仿宋_GB2312"/>
          <w:b w:val="0"/>
          <w:bCs w:val="0"/>
          <w:sz w:val="32"/>
          <w:szCs w:val="32"/>
          <w:u w:val="none"/>
          <w:lang w:val="en-US" w:eastAsia="zh-CN"/>
        </w:rPr>
        <w:t>通过电子邮件形式免费领取。</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比选申请人在获取比选文件时须将下列有效证明文件以PDF形式发送至邮箱，并在递交比选文件的时候同时提供纸质文件：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（1）经办人介绍信或法定代表人授权委托书（加盖公章原件，A4纸）。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（2）经办人身份证复印件（复印件加盖公章，A4纸）。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（3）比选申请人营业执照（复印件加盖公章，A4纸）。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若提供的资格证明文件不全或不实，将导致其比选或中选资格被取消。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9.比选申请文件递交截止时间：</w:t>
      </w:r>
      <w:r>
        <w:rPr>
          <w:rFonts w:hint="eastAsia" w:ascii="Times New Roman" w:hAnsi="Times New Roman" w:eastAsia="仿宋_GB2312" w:cs="仿宋_GB2312"/>
          <w:b w:val="0"/>
          <w:bCs w:val="0"/>
          <w:sz w:val="32"/>
          <w:szCs w:val="32"/>
          <w:u w:val="single"/>
          <w:lang w:val="en-US" w:eastAsia="zh-CN"/>
        </w:rPr>
        <w:t>2023年10月17日下午16:00（北京时间）。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比选申请文件必须在比选申请文件递交截止时间前送达开选地点。逾期送达的比选申请文件恕不接收。本次比选不接收邮寄的比选申请文件。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开选时间与比选申请文件递交截止时间为同一时间。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10.开选地点：</w:t>
      </w:r>
      <w:r>
        <w:rPr>
          <w:rFonts w:hint="eastAsia" w:ascii="Times New Roman" w:hAnsi="Times New Roman" w:eastAsia="仿宋_GB2312" w:cs="仿宋_GB2312"/>
          <w:b w:val="0"/>
          <w:bCs w:val="0"/>
          <w:sz w:val="32"/>
          <w:szCs w:val="32"/>
          <w:u w:val="none"/>
          <w:lang w:val="en-US" w:eastAsia="zh-CN"/>
        </w:rPr>
        <w:t>四川省成都市武侯区临江西路1栋1单元川投大厦19</w:t>
      </w:r>
      <w:bookmarkStart w:id="3" w:name="_GoBack"/>
      <w:bookmarkEnd w:id="3"/>
      <w:r>
        <w:rPr>
          <w:rFonts w:hint="eastAsia" w:ascii="Times New Roman" w:hAnsi="Times New Roman" w:eastAsia="仿宋_GB2312" w:cs="仿宋_GB2312"/>
          <w:b w:val="0"/>
          <w:bCs w:val="0"/>
          <w:sz w:val="32"/>
          <w:szCs w:val="32"/>
          <w:u w:val="none"/>
          <w:lang w:val="en-US" w:eastAsia="zh-CN"/>
        </w:rPr>
        <w:t>05会议室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11.联系方式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比 选 人：四川省投资集团有限责任公司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地    址：四川省成都市武侯区临江西路1栋1单元川投大厦2202室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联 系 人：冯先生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default"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联系电话：15228829297</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邮    箱：</w:t>
      </w:r>
      <w:r>
        <w:rPr>
          <w:rFonts w:hint="eastAsia" w:ascii="Times New Roman" w:hAnsi="Times New Roman" w:eastAsia="仿宋_GB2312" w:cs="仿宋_GB2312"/>
          <w:b w:val="0"/>
          <w:bCs w:val="0"/>
          <w:sz w:val="32"/>
          <w:szCs w:val="32"/>
          <w:u w:val="none"/>
          <w:lang w:val="en-US" w:eastAsia="zh-CN"/>
        </w:rPr>
        <w:fldChar w:fldCharType="begin"/>
      </w:r>
      <w:r>
        <w:rPr>
          <w:rFonts w:hint="eastAsia" w:ascii="Times New Roman" w:hAnsi="Times New Roman" w:eastAsia="仿宋_GB2312" w:cs="仿宋_GB2312"/>
          <w:b w:val="0"/>
          <w:bCs w:val="0"/>
          <w:sz w:val="32"/>
          <w:szCs w:val="32"/>
          <w:u w:val="none"/>
          <w:lang w:val="en-US" w:eastAsia="zh-CN"/>
        </w:rPr>
        <w:instrText xml:space="preserve"> HYPERLINK "mailto:1298268505@qq.com" </w:instrText>
      </w:r>
      <w:r>
        <w:rPr>
          <w:rFonts w:hint="eastAsia" w:ascii="Times New Roman" w:hAnsi="Times New Roman" w:eastAsia="仿宋_GB2312" w:cs="仿宋_GB2312"/>
          <w:b w:val="0"/>
          <w:bCs w:val="0"/>
          <w:sz w:val="32"/>
          <w:szCs w:val="32"/>
          <w:u w:val="none"/>
          <w:lang w:val="en-US" w:eastAsia="zh-CN"/>
        </w:rPr>
        <w:fldChar w:fldCharType="separate"/>
      </w:r>
      <w:r>
        <w:rPr>
          <w:rStyle w:val="7"/>
          <w:rFonts w:hint="eastAsia" w:ascii="Times New Roman" w:hAnsi="Times New Roman" w:eastAsia="仿宋_GB2312" w:cs="仿宋_GB2312"/>
          <w:b w:val="0"/>
          <w:bCs w:val="0"/>
          <w:sz w:val="32"/>
          <w:szCs w:val="32"/>
          <w:lang w:val="en-US" w:eastAsia="zh-CN"/>
        </w:rPr>
        <w:t>774631412@qq.com</w:t>
      </w:r>
      <w:r>
        <w:rPr>
          <w:rFonts w:hint="eastAsia" w:ascii="Times New Roman" w:hAnsi="Times New Roman" w:eastAsia="仿宋_GB2312" w:cs="仿宋_GB2312"/>
          <w:b w:val="0"/>
          <w:bCs w:val="0"/>
          <w:sz w:val="32"/>
          <w:szCs w:val="32"/>
          <w:u w:val="none"/>
          <w:lang w:val="en-US" w:eastAsia="zh-CN"/>
        </w:rPr>
        <w:fldChar w:fldCharType="end"/>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default" w:ascii="Times New Roman" w:hAnsi="Times New Roman" w:eastAsia="仿宋_GB2312" w:cs="仿宋_GB2312"/>
          <w:b w:val="0"/>
          <w:bCs w:val="0"/>
          <w:sz w:val="32"/>
          <w:szCs w:val="32"/>
          <w:u w:val="none"/>
          <w:lang w:val="en-US" w:eastAsia="zh-CN"/>
        </w:rPr>
      </w:pPr>
    </w:p>
    <w:sectPr>
      <w:pgSz w:w="11906" w:h="16838"/>
      <w:pgMar w:top="2098"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5638C"/>
    <w:rsid w:val="00B534E6"/>
    <w:rsid w:val="00E7703A"/>
    <w:rsid w:val="059E1FAE"/>
    <w:rsid w:val="0A271970"/>
    <w:rsid w:val="0DD61595"/>
    <w:rsid w:val="1E6623C0"/>
    <w:rsid w:val="26113DC8"/>
    <w:rsid w:val="266029A3"/>
    <w:rsid w:val="3C3A4290"/>
    <w:rsid w:val="3F402C96"/>
    <w:rsid w:val="3F9C4AFC"/>
    <w:rsid w:val="44A6249A"/>
    <w:rsid w:val="5295638C"/>
    <w:rsid w:val="5C472701"/>
    <w:rsid w:val="5EEC32FA"/>
    <w:rsid w:val="604B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ind w:left="720"/>
    </w:pPr>
    <w:rPr>
      <w:sz w:val="28"/>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 w:type="paragraph" w:customStyle="1" w:styleId="9">
    <w:name w:val="Body text|1"/>
    <w:basedOn w:val="1"/>
    <w:qFormat/>
    <w:uiPriority w:val="0"/>
    <w:pPr>
      <w:widowControl w:val="0"/>
      <w:shd w:val="clear" w:color="auto" w:fill="auto"/>
      <w:spacing w:line="394"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2022-12-06T02:18:00Z</dcterms:created>
  <dc:creator>苗庆全</dc:creator>
  <cp:lastModifiedBy>冯宽</cp:lastModifiedBy>
  <dcterms:modified xsi:type="dcterms:W3CDTF">2023-10-09T00:42:57Z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2052-11.8.6.11830</vt:lpwstr>
  </property>
  <property fmtid="{D5CDD505-2E9C-101B-9397-08002B2CF9AE}" pid="3" name="ICV">
    <vt:lpwstr>BDEE1EB0F28342818D272A068F43E758</vt:lpwstr>
  </property>
</Properties>
</file>